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8E9" w:rsidRDefault="000745DF" w:rsidP="000745DF">
      <w:pPr>
        <w:jc w:val="center"/>
        <w:rPr>
          <w:b/>
          <w:bCs/>
          <w:sz w:val="28"/>
          <w:szCs w:val="28"/>
          <w:u w:val="single"/>
        </w:rPr>
      </w:pPr>
      <w:r w:rsidRPr="000745DF">
        <w:rPr>
          <w:b/>
          <w:bCs/>
          <w:sz w:val="28"/>
          <w:szCs w:val="28"/>
          <w:u w:val="single"/>
        </w:rPr>
        <w:t>AVVI</w:t>
      </w:r>
      <w:bookmarkStart w:id="0" w:name="_GoBack"/>
      <w:r w:rsidRPr="000745DF">
        <w:rPr>
          <w:b/>
          <w:bCs/>
          <w:sz w:val="28"/>
          <w:szCs w:val="28"/>
          <w:u w:val="single"/>
        </w:rPr>
        <w:t>SO</w:t>
      </w:r>
    </w:p>
    <w:bookmarkEnd w:id="0"/>
    <w:p w:rsidR="000745DF" w:rsidRPr="000745DF" w:rsidRDefault="000745DF" w:rsidP="000745DF">
      <w:pPr>
        <w:pStyle w:val="xxmsonormal"/>
        <w:rPr>
          <w:rFonts w:ascii="Arial" w:hAnsi="Arial" w:cs="Arial"/>
          <w:color w:val="333333"/>
          <w:sz w:val="21"/>
          <w:szCs w:val="21"/>
          <w:u w:val="single"/>
        </w:rPr>
      </w:pPr>
      <w:r w:rsidRPr="000745DF">
        <w:rPr>
          <w:rStyle w:val="Enfasigrassetto"/>
          <w:rFonts w:ascii="Arial" w:hAnsi="Arial" w:cs="Arial"/>
          <w:color w:val="333333"/>
          <w:sz w:val="21"/>
          <w:szCs w:val="21"/>
          <w:u w:val="single"/>
        </w:rPr>
        <w:t>Prorogato l’esonero del COSAP dal 1/1 al 31/3 2021</w:t>
      </w:r>
    </w:p>
    <w:p w:rsidR="000745DF" w:rsidRDefault="000745DF" w:rsidP="000745DF">
      <w:pPr>
        <w:pStyle w:val="xxmsonormal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Si informa che con normativa nazionale è stata a</w:t>
      </w:r>
      <w:r>
        <w:rPr>
          <w:rFonts w:ascii="Arial" w:hAnsi="Arial" w:cs="Arial"/>
          <w:color w:val="333333"/>
          <w:sz w:val="21"/>
          <w:szCs w:val="21"/>
        </w:rPr>
        <w:t>pprovata la proroga dell'</w:t>
      </w:r>
      <w:r w:rsidRPr="000745DF">
        <w:rPr>
          <w:rFonts w:ascii="Arial" w:hAnsi="Arial" w:cs="Arial"/>
          <w:b/>
          <w:bCs/>
          <w:color w:val="333333"/>
          <w:sz w:val="21"/>
          <w:szCs w:val="21"/>
        </w:rPr>
        <w:t>esenzione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Enfasigrassetto"/>
          <w:rFonts w:ascii="Arial" w:hAnsi="Arial" w:cs="Arial"/>
          <w:color w:val="333333"/>
          <w:sz w:val="21"/>
          <w:szCs w:val="21"/>
        </w:rPr>
        <w:t>Cosap dal 1° gennaio fino alla fine di marzo 2021. </w:t>
      </w:r>
      <w:r>
        <w:rPr>
          <w:rFonts w:ascii="Arial" w:hAnsi="Arial" w:cs="Arial"/>
          <w:color w:val="333333"/>
          <w:sz w:val="21"/>
          <w:szCs w:val="21"/>
        </w:rPr>
        <w:t>Si tratta di una proroga dell'esonero già previsto dal 1° maggio al 31 ottobre 2020, dall'art.181 comma 1 del Decreto Rilancio, e successivamente prorogato fino al 31 dicembre 2020 con il Decreto agosto.</w:t>
      </w:r>
    </w:p>
    <w:p w:rsidR="000745DF" w:rsidRPr="000745DF" w:rsidRDefault="000745DF" w:rsidP="000745DF">
      <w:pPr>
        <w:pStyle w:val="xxmsonormal"/>
        <w:jc w:val="both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L'art. 9-ter del Decreto Ristori infatti stabilisce per i titolari di concessioni o di autorizzazioni ad occupare il suolo pubblico</w:t>
      </w:r>
      <w:r>
        <w:rPr>
          <w:rStyle w:val="Enfasigrassetto"/>
          <w:rFonts w:ascii="Arial" w:hAnsi="Arial" w:cs="Arial"/>
          <w:color w:val="333333"/>
          <w:sz w:val="21"/>
          <w:szCs w:val="21"/>
        </w:rPr>
        <w:t> l'esonero da TOSAP e COSAP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Enfasigrassetto"/>
          <w:rFonts w:ascii="Arial" w:hAnsi="Arial" w:cs="Arial"/>
          <w:color w:val="333333"/>
          <w:sz w:val="21"/>
          <w:szCs w:val="21"/>
        </w:rPr>
        <w:t xml:space="preserve">dal 1° gennaio al 31 marzo 2021 </w:t>
      </w:r>
      <w:r w:rsidRPr="000745DF">
        <w:rPr>
          <w:rStyle w:val="Enfasigrassetto"/>
          <w:rFonts w:ascii="Arial" w:hAnsi="Arial" w:cs="Arial"/>
          <w:b w:val="0"/>
          <w:bCs w:val="0"/>
          <w:color w:val="333333"/>
          <w:sz w:val="21"/>
          <w:szCs w:val="21"/>
        </w:rPr>
        <w:t>e sarà applicato alle </w:t>
      </w:r>
      <w:r w:rsidRPr="000745DF">
        <w:rPr>
          <w:rFonts w:ascii="Arial" w:hAnsi="Arial" w:cs="Arial"/>
          <w:b/>
          <w:bCs/>
          <w:color w:val="333333"/>
          <w:sz w:val="21"/>
          <w:szCs w:val="21"/>
        </w:rPr>
        <w:t>tipologie di esercizi elencate dall'art. 5, comma 1, legge n. 287/1991</w:t>
      </w:r>
      <w:r>
        <w:rPr>
          <w:rFonts w:ascii="Arial" w:hAnsi="Arial" w:cs="Arial"/>
          <w:b/>
          <w:bCs/>
          <w:color w:val="333333"/>
          <w:sz w:val="21"/>
          <w:szCs w:val="21"/>
        </w:rPr>
        <w:t>:</w:t>
      </w:r>
    </w:p>
    <w:p w:rsidR="000745DF" w:rsidRDefault="000745DF" w:rsidP="000745DF">
      <w:pPr>
        <w:pStyle w:val="xxmsonormal"/>
        <w:numPr>
          <w:ilvl w:val="0"/>
          <w:numId w:val="1"/>
        </w:numPr>
        <w:ind w:left="375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gli esercizi di ristorazione, per la somministrazione di pasti e di bevande, comprese quelle aventi un contenuto alcoolico superiore al 21 per cento del volume, e di latte (</w:t>
      </w:r>
      <w:r>
        <w:rPr>
          <w:rStyle w:val="Enfasigrassetto"/>
          <w:rFonts w:ascii="Arial" w:hAnsi="Arial" w:cs="Arial"/>
          <w:color w:val="333333"/>
          <w:sz w:val="21"/>
          <w:szCs w:val="21"/>
        </w:rPr>
        <w:t>ristoranti, trattorie, tavole calde, pizzerie, birrerie ed esercizi similari</w:t>
      </w:r>
      <w:r>
        <w:rPr>
          <w:rFonts w:ascii="Arial" w:hAnsi="Arial" w:cs="Arial"/>
          <w:color w:val="333333"/>
          <w:sz w:val="21"/>
          <w:szCs w:val="21"/>
        </w:rPr>
        <w:t>);</w:t>
      </w:r>
    </w:p>
    <w:p w:rsidR="000745DF" w:rsidRDefault="000745DF" w:rsidP="000745DF">
      <w:pPr>
        <w:pStyle w:val="xxmsonormal"/>
        <w:numPr>
          <w:ilvl w:val="0"/>
          <w:numId w:val="1"/>
        </w:numPr>
        <w:ind w:left="375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gli esercizi per la somministrazione di bevande, comprese quelle alcooliche di qualsiasi gradazione, nonché di latte, di dolciumi, compresi i generi di pasticceria e gelateria, e di prodotti di gastronomia (</w:t>
      </w:r>
      <w:r>
        <w:rPr>
          <w:rStyle w:val="Enfasigrassetto"/>
          <w:rFonts w:ascii="Arial" w:hAnsi="Arial" w:cs="Arial"/>
          <w:color w:val="333333"/>
          <w:sz w:val="21"/>
          <w:szCs w:val="21"/>
        </w:rPr>
        <w:t>bar, caffè, gelaterie, pasticcerie ed esercizi similari</w:t>
      </w:r>
      <w:r>
        <w:rPr>
          <w:rFonts w:ascii="Arial" w:hAnsi="Arial" w:cs="Arial"/>
          <w:color w:val="333333"/>
          <w:sz w:val="21"/>
          <w:szCs w:val="21"/>
        </w:rPr>
        <w:t>);</w:t>
      </w:r>
    </w:p>
    <w:p w:rsidR="000745DF" w:rsidRDefault="000745DF" w:rsidP="000745DF">
      <w:pPr>
        <w:pStyle w:val="xxmsonormal"/>
        <w:numPr>
          <w:ilvl w:val="0"/>
          <w:numId w:val="1"/>
        </w:numPr>
        <w:ind w:left="375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gli esercizi di cui alle lettere a) e b), in cui la somministrazione di alimenti e di bevande </w:t>
      </w:r>
      <w:r>
        <w:rPr>
          <w:rStyle w:val="Enfasigrassetto"/>
          <w:rFonts w:ascii="Arial" w:hAnsi="Arial" w:cs="Arial"/>
          <w:color w:val="333333"/>
          <w:sz w:val="21"/>
          <w:szCs w:val="21"/>
        </w:rPr>
        <w:t>viene effettuata congiuntamente ad attività di trattenimento e svago, in sale da ballo, sale da gioco, locali notturni, stabilimenti balneari ed esercizi similari</w:t>
      </w:r>
      <w:r>
        <w:rPr>
          <w:rFonts w:ascii="Arial" w:hAnsi="Arial" w:cs="Arial"/>
          <w:color w:val="333333"/>
          <w:sz w:val="21"/>
          <w:szCs w:val="21"/>
        </w:rPr>
        <w:t>;</w:t>
      </w:r>
    </w:p>
    <w:p w:rsidR="000745DF" w:rsidRDefault="000745DF" w:rsidP="000745DF">
      <w:pPr>
        <w:pStyle w:val="xxmsonormal"/>
        <w:numPr>
          <w:ilvl w:val="0"/>
          <w:numId w:val="1"/>
        </w:numPr>
        <w:ind w:left="375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gli esercizi di cui alla lettera b), </w:t>
      </w:r>
      <w:r>
        <w:rPr>
          <w:rStyle w:val="Enfasigrassetto"/>
          <w:rFonts w:ascii="Arial" w:hAnsi="Arial" w:cs="Arial"/>
          <w:color w:val="333333"/>
          <w:sz w:val="21"/>
          <w:szCs w:val="21"/>
        </w:rPr>
        <w:t>nei quali è esclusa la somministrazione di bevande alcoliche di qualsiasi gradazione</w:t>
      </w:r>
      <w:r>
        <w:rPr>
          <w:rFonts w:ascii="Arial" w:hAnsi="Arial" w:cs="Arial"/>
          <w:color w:val="333333"/>
          <w:sz w:val="21"/>
          <w:szCs w:val="21"/>
        </w:rPr>
        <w:t>,</w:t>
      </w:r>
    </w:p>
    <w:p w:rsidR="000745DF" w:rsidRDefault="000745DF" w:rsidP="000745DF">
      <w:pPr>
        <w:pStyle w:val="xxxxmsonormal"/>
        <w:spacing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Inoltre, oltre alle categorie citate, anche i titolari di concessioni od autorizzazioni su suolo pubblico per l'esercizio del commercio su aree pubbliche sono esonerati, sempre dal </w:t>
      </w:r>
      <w:r>
        <w:rPr>
          <w:rStyle w:val="Enfasigrassetto"/>
          <w:rFonts w:ascii="Arial" w:hAnsi="Arial" w:cs="Arial"/>
          <w:color w:val="333333"/>
          <w:sz w:val="21"/>
          <w:szCs w:val="21"/>
        </w:rPr>
        <w:t>1° gennaio al 31 marzo 2021,</w:t>
      </w:r>
      <w:r>
        <w:rPr>
          <w:rFonts w:ascii="Arial" w:hAnsi="Arial" w:cs="Arial"/>
          <w:color w:val="333333"/>
          <w:sz w:val="21"/>
          <w:szCs w:val="21"/>
        </w:rPr>
        <w:t> dal pagamento del canone di concessione per l'occupazione delle areee degli spazi appartenenti al demanio o al patrimonio indisponibile, </w:t>
      </w:r>
      <w:r>
        <w:rPr>
          <w:rStyle w:val="Enfasigrassetto"/>
          <w:rFonts w:ascii="Arial" w:hAnsi="Arial" w:cs="Arial"/>
          <w:color w:val="333333"/>
          <w:sz w:val="21"/>
          <w:szCs w:val="21"/>
        </w:rPr>
        <w:t>destinati a mercati realizzati anche in strutture attrezzate</w:t>
      </w:r>
      <w:r>
        <w:rPr>
          <w:rFonts w:ascii="Arial" w:hAnsi="Arial" w:cs="Arial"/>
          <w:color w:val="333333"/>
          <w:sz w:val="21"/>
          <w:szCs w:val="21"/>
        </w:rPr>
        <w:t> (di cui all'articolo1, comma 837 e seguenti, della legge di bilancio per il 2020 n. 160 del 2019).</w:t>
      </w:r>
    </w:p>
    <w:p w:rsidR="000745DF" w:rsidRPr="000745DF" w:rsidRDefault="000745DF" w:rsidP="000745DF">
      <w:pPr>
        <w:pStyle w:val="xxxxmsonormal"/>
        <w:spacing w:line="300" w:lineRule="atLeast"/>
        <w:jc w:val="both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Si specifica inoltre che le</w:t>
      </w:r>
      <w:r>
        <w:rPr>
          <w:rStyle w:val="Enfasigrassetto"/>
          <w:rFonts w:ascii="Arial" w:hAnsi="Arial" w:cs="Arial"/>
          <w:color w:val="333333"/>
          <w:sz w:val="21"/>
          <w:szCs w:val="21"/>
        </w:rPr>
        <w:t> nuove richieste di concessione di utilizzo di suolo pubblico e le richieste di ampliamento di spazio di quelle già occupate,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Enfasigrassetto"/>
          <w:rFonts w:ascii="Arial" w:hAnsi="Arial" w:cs="Arial"/>
          <w:color w:val="333333"/>
          <w:sz w:val="21"/>
          <w:szCs w:val="21"/>
          <w:u w:val="single"/>
        </w:rPr>
        <w:t>a decorrere dal 1° gennaio e fino al 31 marzo 2021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Enfasigrassetto"/>
          <w:rFonts w:ascii="Arial" w:hAnsi="Arial" w:cs="Arial"/>
          <w:color w:val="333333"/>
          <w:sz w:val="21"/>
          <w:szCs w:val="21"/>
          <w:u w:val="single"/>
        </w:rPr>
        <w:t>saranno presentabili solo con modalità telematica</w:t>
      </w:r>
      <w:r>
        <w:rPr>
          <w:rStyle w:val="Enfasigrassetto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 xml:space="preserve">allegando, in deroga a quanto previsto dal DPR 160/2010, la sola planimetria e </w:t>
      </w:r>
      <w:r w:rsidRPr="000745DF">
        <w:rPr>
          <w:rFonts w:ascii="Arial" w:hAnsi="Arial" w:cs="Arial"/>
          <w:b/>
          <w:bCs/>
          <w:color w:val="333333"/>
          <w:sz w:val="21"/>
          <w:szCs w:val="21"/>
        </w:rPr>
        <w:t>non sarà dovuta l’imposta di bollo prevista ai sensi del DPR 642/72. </w:t>
      </w:r>
    </w:p>
    <w:p w:rsidR="000745DF" w:rsidRPr="000745DF" w:rsidRDefault="000745DF" w:rsidP="000745DF">
      <w:pPr>
        <w:rPr>
          <w:b/>
          <w:bCs/>
          <w:sz w:val="24"/>
          <w:szCs w:val="24"/>
          <w:u w:val="single"/>
        </w:rPr>
      </w:pPr>
    </w:p>
    <w:sectPr w:rsidR="000745DF" w:rsidRPr="000745DF" w:rsidSect="005408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2594C"/>
    <w:multiLevelType w:val="multilevel"/>
    <w:tmpl w:val="F0D6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DF"/>
    <w:rsid w:val="000745DF"/>
    <w:rsid w:val="005408E9"/>
    <w:rsid w:val="0098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B783"/>
  <w15:chartTrackingRefBased/>
  <w15:docId w15:val="{2021EEF1-6CBD-429B-AF55-5CA3E61E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08E9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745DF"/>
    <w:rPr>
      <w:b/>
      <w:bCs/>
    </w:rPr>
  </w:style>
  <w:style w:type="paragraph" w:customStyle="1" w:styleId="xxmsonormal">
    <w:name w:val="x_x_msonormal"/>
    <w:basedOn w:val="Normale"/>
    <w:rsid w:val="000745D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noProof w:val="0"/>
      <w:sz w:val="24"/>
      <w:szCs w:val="24"/>
      <w:lang w:eastAsia="it-IT"/>
    </w:rPr>
  </w:style>
  <w:style w:type="paragraph" w:customStyle="1" w:styleId="xxxxmsonormal">
    <w:name w:val="x_x_xxmsonormal"/>
    <w:basedOn w:val="Normale"/>
    <w:rsid w:val="000745DF"/>
    <w:pPr>
      <w:spacing w:after="15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4389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0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2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Resp. Area Vigilanza</dc:creator>
  <cp:keywords/>
  <dc:description/>
  <cp:lastModifiedBy>Resp. Area Vigilanza</cp:lastModifiedBy>
  <cp:revision>2</cp:revision>
  <dcterms:created xsi:type="dcterms:W3CDTF">2021-02-06T09:45:00Z</dcterms:created>
  <dcterms:modified xsi:type="dcterms:W3CDTF">2021-02-06T10:02:00Z</dcterms:modified>
</cp:coreProperties>
</file>